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00"/>
      </w:pPr>
      <w:r>
        <w:rPr>
          <w:rFonts w:ascii="Arial" w:hAnsi="Arial" w:eastAsia="Arial"/>
          <w:b/>
          <w:color w:val="D9843B"/>
          <w:sz w:val="18"/>
        </w:rPr>
        <w:t>MODELO DE CITACIÓN</w:t>
      </w:r>
    </w:p>
    <w:p>
      <w:pPr>
        <w:keepNext/>
        <w:spacing w:before="0" w:after="80"/>
      </w:pPr>
      <w:r>
        <w:rPr>
          <w:rFonts w:ascii="Arial" w:hAnsi="Arial" w:eastAsia="Arial"/>
          <w:b/>
          <w:color w:val="10384D"/>
          <w:sz w:val="40"/>
        </w:rPr>
        <w:t>Citación a Junta General Ordinaria de Comuneros</w:t>
      </w:r>
    </w:p>
    <w:p>
      <w:pPr>
        <w:spacing w:before="0" w:after="60"/>
      </w:pPr>
      <w:r>
        <w:rPr>
          <w:rFonts w:ascii="Arial" w:hAnsi="Arial" w:eastAsia="Arial"/>
          <w:b/>
          <w:color w:val="174B65"/>
          <w:sz w:val="26"/>
        </w:rPr>
        <w:t>[NOMBRE OFICIAL DE LA COMUNIDAD DE AGUAS]</w:t>
      </w:r>
    </w:p>
    <w:p>
      <w:pPr>
        <w:spacing w:before="0" w:after="160"/>
      </w:pPr>
      <w:r>
        <w:rPr>
          <w:rFonts w:ascii="Arial" w:hAnsi="Arial" w:eastAsia="Arial"/>
          <w:b/>
          <w:color w:val="5E727C"/>
          <w:sz w:val="19"/>
        </w:rPr>
        <w:t>[DOMICILIO / REGISTRO DGA O ANTECEDENTE DE IDENTIFICACIÓN, SI CORRESPONDE]</w:t>
      </w:r>
    </w:p>
    <w:p>
      <w:pPr>
        <w:spacing w:after="160"/>
      </w:pPr>
      <w:r>
        <w:rPr>
          <w:rFonts w:ascii="Arial" w:hAnsi="Arial" w:eastAsia="Arial"/>
          <w:color w:val="29404C"/>
          <w:sz w:val="22"/>
        </w:rPr>
        <w:t>El Directorio de [NOMBRE DE LA COMUNIDAD], de conformidad con sus estatutos y con los artículos 218 y siguientes del Código de Aguas, cita a sus comuneros a Junta General Ordinaria, que se celebrará en las condiciones que se indican a continuación:</w:t>
      </w:r>
    </w:p>
    <w:tbl>
      <w:tblPr>
        <w:tblW w:type="dxa" w:w="9360"/>
        <w:jc w:val="left"/>
        <w:tblLayout w:type="fixed"/>
        <w:tblLook w:firstColumn="1" w:firstRow="1" w:lastColumn="0" w:lastRow="0" w:noHBand="0" w:noVBand="1" w:val="04A0"/>
        <w:tblInd w:w="120" w:type="dxa"/>
        <w:tblBorders>
          <w:top w:val="single" w:sz="6" w:space="0" w:color="D7E6EC"/>
          <w:left w:val="single" w:sz="6" w:space="0" w:color="D7E6EC"/>
          <w:bottom w:val="single" w:sz="6" w:space="0" w:color="D7E6EC"/>
          <w:right w:val="single" w:sz="6" w:space="0" w:color="D7E6EC"/>
          <w:insideH w:val="single" w:sz="6" w:space="0" w:color="D7E6EC"/>
          <w:insideV w:val="single" w:sz="6" w:space="0" w:color="D7E6EC"/>
        </w:tblBorders>
      </w:tblPr>
      <w:tblGrid>
        <w:gridCol w:w="2520"/>
        <w:gridCol w:w="6840"/>
      </w:tblGrid>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Fecha</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[DÍA DE LA SEMANA, DÍA, MES Y AÑO]</w:t>
            </w:r>
          </w:p>
        </w:tc>
      </w:tr>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Lugar</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[NOMBRE DEL RECINTO Y DIRECCIÓN COMPLETA]</w:t>
            </w:r>
          </w:p>
        </w:tc>
      </w:tr>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Primera citación</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[HORA] horas</w:t>
            </w:r>
          </w:p>
        </w:tc>
      </w:tr>
      <w:tr>
        <w:tc>
          <w:tcPr>
            <w:tcW w:type="dxa" w:w="2520"/>
            <w:tcMar>
              <w:top w:w="80" w:type="dxa"/>
              <w:start w:w="120" w:type="dxa"/>
              <w:bottom w:w="80" w:type="dxa"/>
              <w:end w:w="120" w:type="dxa"/>
            </w:tcMar>
            <w:vAlign w:val="center"/>
            <w:shd w:fill="E4F5FB"/>
          </w:tcPr>
          <w:p>
            <w:pPr>
              <w:spacing w:before="0" w:after="0" w:line="264" w:lineRule="auto"/>
            </w:pPr>
            <w:r>
              <w:rPr>
                <w:rFonts w:ascii="Arial" w:hAnsi="Arial" w:eastAsia="Arial"/>
                <w:b/>
                <w:color w:val="10384D"/>
                <w:sz w:val="21"/>
              </w:rPr>
              <w:t>Segunda citación</w:t>
            </w:r>
          </w:p>
        </w:tc>
        <w:tc>
          <w:tcPr>
            <w:tcW w:type="dxa" w:w="6840"/>
            <w:tcMar>
              <w:top w:w="80" w:type="dxa"/>
              <w:start w:w="120" w:type="dxa"/>
              <w:bottom w:w="80" w:type="dxa"/>
              <w:end w:w="120" w:type="dxa"/>
            </w:tcMar>
            <w:vAlign w:val="center"/>
          </w:tcPr>
          <w:p>
            <w:pPr>
              <w:spacing w:before="0" w:after="0" w:line="264" w:lineRule="auto"/>
            </w:pPr>
            <w:r>
              <w:rPr>
                <w:rFonts w:ascii="Arial" w:hAnsi="Arial" w:eastAsia="Arial"/>
                <w:b/>
                <w:color w:val="174B65"/>
                <w:sz w:val="21"/>
              </w:rPr>
              <w:t>[HORA] horas · mínimo 30 minutos después si es el mismo día</w:t>
            </w:r>
          </w:p>
        </w:tc>
      </w:tr>
    </w:tbl>
    <w:p>
      <w:pPr>
        <w:pStyle w:val="Heading2"/>
        <w:spacing w:before="180" w:after="100"/>
      </w:pPr>
      <w:r>
        <w:t>Tabla de materias</w:t>
      </w:r>
    </w:p>
    <w:p>
      <w:pPr>
        <w:numPr>
          <w:ilvl w:val="0"/>
          <w:numId w:val="10"/>
        </w:numPr>
      </w:pPr>
      <w:r>
        <w:rPr>
          <w:rFonts w:ascii="Arial" w:hAnsi="Arial" w:eastAsia="Arial"/>
          <w:color w:val="29404C"/>
          <w:sz w:val="20"/>
        </w:rPr>
        <w:t>Lectura y aprobación del acta de la junta general anterior, si correspondiere.</w:t>
      </w:r>
    </w:p>
    <w:p>
      <w:pPr>
        <w:numPr>
          <w:ilvl w:val="0"/>
          <w:numId w:val="10"/>
        </w:numPr>
      </w:pPr>
      <w:r>
        <w:rPr>
          <w:rFonts w:ascii="Arial" w:hAnsi="Arial" w:eastAsia="Arial"/>
          <w:color w:val="29404C"/>
          <w:sz w:val="20"/>
        </w:rPr>
        <w:t>Pronunciamiento sobre la memoria y la cuenta de inversión que presenta el Directorio.</w:t>
      </w:r>
    </w:p>
    <w:p>
      <w:pPr>
        <w:numPr>
          <w:ilvl w:val="0"/>
          <w:numId w:val="10"/>
        </w:numPr>
      </w:pPr>
      <w:r>
        <w:rPr>
          <w:rFonts w:ascii="Arial" w:hAnsi="Arial" w:eastAsia="Arial"/>
          <w:color w:val="29404C"/>
          <w:sz w:val="20"/>
        </w:rPr>
        <w:t xml:space="preserve">Aprobación del presupuesto de gastos ordinarios y extraordinarios para el período anual </w:t>
      </w:r>
      <w:r>
        <w:rPr>
          <w:rFonts w:ascii="Arial" w:hAnsi="Arial" w:eastAsia="Arial"/>
          <w:b/>
          <w:color w:val="174B65"/>
          <w:sz w:val="20"/>
        </w:rPr>
        <w:t>[INDICAR PERÍODO], incluidas las cuotas y sus plazos de pago.</w:t>
      </w:r>
    </w:p>
    <w:p>
      <w:pPr>
        <w:numPr>
          <w:ilvl w:val="0"/>
          <w:numId w:val="10"/>
        </w:numPr>
      </w:pPr>
      <w:r>
        <w:rPr>
          <w:rFonts w:ascii="Arial" w:hAnsi="Arial" w:eastAsia="Arial"/>
          <w:color w:val="29404C"/>
          <w:sz w:val="20"/>
        </w:rPr>
        <w:t>Nombramiento de inspectores para el examen de las cuentas y, si fuere necesario, autorización para seleccionar auditores externos de contabilidad y procedimientos.</w:t>
      </w:r>
    </w:p>
    <w:p>
      <w:pPr>
        <w:numPr>
          <w:ilvl w:val="0"/>
          <w:numId w:val="10"/>
        </w:numPr>
      </w:pPr>
      <w:r>
        <w:rPr>
          <w:rFonts w:ascii="Arial" w:hAnsi="Arial" w:eastAsia="Arial"/>
          <w:color w:val="29404C"/>
          <w:sz w:val="20"/>
        </w:rPr>
        <w:t>Fijación de las sanciones aplicables a los deudores morosos.</w:t>
      </w:r>
    </w:p>
    <w:p>
      <w:pPr>
        <w:numPr>
          <w:ilvl w:val="0"/>
          <w:numId w:val="10"/>
        </w:numPr>
      </w:pPr>
      <w:r>
        <w:rPr>
          <w:rFonts w:ascii="Arial" w:hAnsi="Arial" w:eastAsia="Arial"/>
          <w:color w:val="29404C"/>
          <w:sz w:val="20"/>
        </w:rPr>
        <w:t>Elección del Directorio o de los administradores, cuando corresponda conforme al Código de Aguas y a los estatutos.</w:t>
      </w:r>
    </w:p>
    <w:p>
      <w:pPr>
        <w:numPr>
          <w:ilvl w:val="0"/>
          <w:numId w:val="10"/>
        </w:numPr>
      </w:pPr>
      <w:r>
        <w:rPr>
          <w:rFonts w:ascii="Arial" w:hAnsi="Arial" w:eastAsia="Arial"/>
          <w:color w:val="29404C"/>
          <w:sz w:val="20"/>
        </w:rPr>
        <w:t xml:space="preserve">Otras materias específicas: </w:t>
      </w:r>
      <w:r>
        <w:rPr>
          <w:rFonts w:ascii="Arial" w:hAnsi="Arial" w:eastAsia="Arial"/>
          <w:b/>
          <w:color w:val="174B65"/>
          <w:sz w:val="20"/>
        </w:rPr>
        <w:t>[DETALLAR CADA ASUNTO QUE SERÁ TRATADO O SOMETIDO A ACUERDO].</w:t>
      </w:r>
    </w:p>
    <w:p>
      <w:pPr>
        <w:numPr>
          <w:ilvl w:val="0"/>
          <w:numId w:val="10"/>
        </w:numPr>
      </w:pPr>
      <w:r>
        <w:rPr>
          <w:rFonts w:ascii="Arial" w:hAnsi="Arial" w:eastAsia="Arial"/>
          <w:color w:val="29404C"/>
          <w:sz w:val="20"/>
        </w:rPr>
        <w:t>Puntos varios de carácter informativo, sin adoptar acuerdos sobre materias que requieran citación especial.</w:t>
      </w:r>
    </w:p>
    <w:p>
      <w:pPr>
        <w:keepLines/>
        <w:spacing w:before="80" w:after="140"/>
        <w:ind w:left="173" w:right="115"/>
        <w:shd w:fill="F3F6F7"/>
        <w:pBdr>
          <w:left w:val="single" w:sz="18" w:space="8" w:color="D9843B"/>
        </w:pBdr>
      </w:pPr>
      <w:r>
        <w:rPr>
          <w:rFonts w:ascii="Arial" w:hAnsi="Arial" w:eastAsia="Arial"/>
          <w:b/>
          <w:color w:val="10384D"/>
          <w:sz w:val="18"/>
        </w:rPr>
        <w:t xml:space="preserve">QUÓRUM. </w:t>
      </w:r>
      <w:r>
        <w:rPr>
          <w:rFonts w:ascii="Arial" w:hAnsi="Arial" w:eastAsia="Arial"/>
          <w:color w:val="29404C"/>
          <w:sz w:val="18"/>
        </w:rPr>
        <w:t>En primera citación habrá sala con la mayoría absoluta de los comuneros con derecho a voto. En segunda citación, se celebrará con los comuneros con derecho a voto que asistan. Ambas citaciones se efectúan para el mismo día y con al menos 30 minutos de diferencia.</w:t>
      </w:r>
    </w:p>
    <w:p>
      <w:pPr>
        <w:spacing w:before="40" w:after="160"/>
      </w:pPr>
      <w:r>
        <w:rPr>
          <w:rFonts w:ascii="Arial" w:hAnsi="Arial" w:eastAsia="Arial"/>
          <w:b/>
          <w:color w:val="174B65"/>
          <w:sz w:val="21"/>
        </w:rPr>
        <w:t>[CIUDAD], [DÍA] de [MES] de [AÑO].</w:t>
      </w:r>
    </w:p>
    <w:tbl>
      <w:tblPr>
        <w:tblW w:type="dxa" w:w="9360"/>
        <w:tblLayout w:type="fixed"/>
        <w:tblLook w:firstColumn="1" w:firstRow="1" w:lastColumn="0" w:lastRow="0" w:noHBand="0" w:noVBand="1" w:val="04A0"/>
        <w:jc w:val="left"/>
        <w:tblInd w:w="120" w:type="dxa"/>
        <w:tblBorders>
          <w:top w:val="nil"/>
          <w:left w:val="nil"/>
          <w:bottom w:val="nil"/>
          <w:right w:val="nil"/>
          <w:insideH w:val="nil"/>
          <w:insideV w:val="nil"/>
        </w:tblBorders>
      </w:tblPr>
      <w:tblGrid>
        <w:gridCol w:w="4680"/>
        <w:gridCol w:w="4680"/>
      </w:tblGrid>
      <w:tr>
        <w:tc>
          <w:tcPr>
            <w:tcW w:type="dxa" w:w="4680"/>
            <w:tcMar>
              <w:top w:w="60" w:type="dxa"/>
              <w:start w:w="100" w:type="dxa"/>
              <w:bottom w:w="60" w:type="dxa"/>
              <w:end w:w="100" w:type="dxa"/>
            </w:tcMar>
            <w:vAlign w:val="center"/>
          </w:tcPr>
          <w:p>
            <w:pPr>
              <w:spacing w:before="120" w:after="40"/>
              <w:jc w:val="center"/>
            </w:pPr>
            <w:r>
              <w:rPr>
                <w:rFonts w:ascii="Arial" w:hAnsi="Arial" w:eastAsia="Arial"/>
                <w:color w:val="5E727C"/>
                <w:sz w:val="18"/>
              </w:rPr>
              <w:t>________________________________</w:t>
            </w:r>
          </w:p>
        </w:tc>
        <w:tc>
          <w:tcPr>
            <w:tcW w:type="dxa" w:w="4680"/>
            <w:tcMar>
              <w:top w:w="60" w:type="dxa"/>
              <w:start w:w="100" w:type="dxa"/>
              <w:bottom w:w="60" w:type="dxa"/>
              <w:end w:w="100" w:type="dxa"/>
            </w:tcMar>
            <w:vAlign w:val="center"/>
          </w:tcPr>
          <w:p>
            <w:pPr>
              <w:spacing w:before="120" w:after="40"/>
              <w:jc w:val="center"/>
            </w:pPr>
            <w:r>
              <w:rPr>
                <w:rFonts w:ascii="Arial" w:hAnsi="Arial" w:eastAsia="Arial"/>
                <w:color w:val="5E727C"/>
                <w:sz w:val="18"/>
              </w:rPr>
              <w:t>________________________________</w:t>
            </w:r>
          </w:p>
        </w:tc>
      </w:tr>
      <w:tr>
        <w:tc>
          <w:tcPr>
            <w:tcW w:type="dxa" w:w="4680"/>
            <w:tcMar>
              <w:top w:w="60" w:type="dxa"/>
              <w:start w:w="100" w:type="dxa"/>
              <w:bottom w:w="60" w:type="dxa"/>
              <w:end w:w="100" w:type="dxa"/>
            </w:tcMar>
            <w:vAlign w:val="center"/>
          </w:tcPr>
          <w:p>
            <w:pPr>
              <w:spacing w:before="0" w:after="0"/>
              <w:jc w:val="center"/>
            </w:pPr>
            <w:r>
              <w:rPr>
                <w:rFonts w:ascii="Arial" w:hAnsi="Arial" w:eastAsia="Arial"/>
                <w:b/>
                <w:color w:val="10384D"/>
                <w:sz w:val="17"/>
              </w:rPr>
              <w:t>[NOMBRE PRESIDENTE/A]</w:t>
              <w:br/>
              <w:t>PRESIDENTE/A</w:t>
            </w:r>
          </w:p>
        </w:tc>
        <w:tc>
          <w:tcPr>
            <w:tcW w:type="dxa" w:w="4680"/>
            <w:tcMar>
              <w:top w:w="60" w:type="dxa"/>
              <w:start w:w="100" w:type="dxa"/>
              <w:bottom w:w="60" w:type="dxa"/>
              <w:end w:w="100" w:type="dxa"/>
            </w:tcMar>
            <w:vAlign w:val="center"/>
          </w:tcPr>
          <w:p>
            <w:pPr>
              <w:spacing w:before="0" w:after="0"/>
              <w:jc w:val="center"/>
            </w:pPr>
            <w:r>
              <w:rPr>
                <w:rFonts w:ascii="Arial" w:hAnsi="Arial" w:eastAsia="Arial"/>
                <w:b/>
                <w:color w:val="10384D"/>
                <w:sz w:val="17"/>
              </w:rPr>
              <w:t>[NOMBRE SECRETARIO/A]</w:t>
              <w:br/>
              <w:t>SECRETARIO/A</w:t>
            </w:r>
          </w:p>
        </w:tc>
      </w:tr>
    </w:tbl>
    <w:p>
      <w:r>
        <w:br w:type="page"/>
      </w:r>
    </w:p>
    <w:p>
      <w:pPr>
        <w:spacing w:before="80" w:after="100"/>
      </w:pPr>
      <w:r>
        <w:rPr>
          <w:rFonts w:ascii="Arial" w:hAnsi="Arial" w:eastAsia="Arial"/>
          <w:b/>
          <w:color w:val="D9843B"/>
          <w:sz w:val="18"/>
        </w:rPr>
        <w:t>ORIENTACIONES DE USO</w:t>
      </w:r>
    </w:p>
    <w:p>
      <w:pPr>
        <w:spacing w:before="0" w:after="120"/>
      </w:pPr>
      <w:r>
        <w:rPr>
          <w:rFonts w:ascii="Arial" w:hAnsi="Arial" w:eastAsia="Arial"/>
          <w:b/>
          <w:color w:val="10384D"/>
          <w:sz w:val="40"/>
        </w:rPr>
        <w:t>Cómo completar y publicar esta citación</w:t>
      </w:r>
    </w:p>
    <w:p>
      <w:pPr>
        <w:spacing w:before="0" w:after="280"/>
      </w:pPr>
      <w:r>
        <w:rPr>
          <w:rFonts w:ascii="Arial" w:hAnsi="Arial" w:eastAsia="Arial"/>
          <w:i/>
          <w:color w:val="5E727C"/>
          <w:sz w:val="21"/>
        </w:rPr>
        <w:t>Esta página es explicativa: elimínela antes de publicar o distribuir la citación definitiva.</w:t>
      </w:r>
    </w:p>
    <w:p>
      <w:pPr>
        <w:spacing w:before="0" w:after="240"/>
        <w:ind w:left="173" w:right="115"/>
        <w:shd w:fill="E4F5FB"/>
        <w:pBdr>
          <w:left w:val="single" w:sz="18" w:space="8" w:color="174B65"/>
        </w:pBdr>
      </w:pPr>
      <w:r>
        <w:rPr>
          <w:rFonts w:ascii="Arial" w:hAnsi="Arial" w:eastAsia="Arial"/>
          <w:b/>
          <w:color w:val="10384D"/>
          <w:sz w:val="20"/>
        </w:rPr>
        <w:t xml:space="preserve">IMPORTANTE. </w:t>
      </w:r>
      <w:r>
        <w:rPr>
          <w:rFonts w:ascii="Arial" w:hAnsi="Arial" w:eastAsia="Arial"/>
          <w:color w:val="29404C"/>
          <w:sz w:val="20"/>
        </w:rPr>
        <w:t>Este modelo se basa en las reglas generales del Código de Aguas. Antes de usarlo, revise los estatutos vigentes de la comunidad, porque pueden establecer una fecha especial para la junta y una forma de convocatoria distinta en los casos permitidos por la ley.</w:t>
      </w:r>
    </w:p>
    <w:p>
      <w:pPr>
        <w:numPr>
          <w:ilvl w:val="0"/>
          <w:numId w:val="11"/>
        </w:numPr>
      </w:pPr>
      <w:r>
        <w:rPr>
          <w:rFonts w:ascii="Arial" w:hAnsi="Arial" w:eastAsia="Arial"/>
          <w:b/>
          <w:color w:val="10384D"/>
          <w:sz w:val="21"/>
        </w:rPr>
        <w:t xml:space="preserve">Revise primero los estatutos. </w:t>
      </w:r>
      <w:r>
        <w:rPr>
          <w:rFonts w:ascii="Arial" w:hAnsi="Arial" w:eastAsia="Arial"/>
          <w:color w:val="29404C"/>
          <w:sz w:val="21"/>
        </w:rPr>
        <w:t>Si no fijan una fecha especial, la regla supletoria es el primer sábado hábil de abril, a las 14:00 horas, en el lugar que determine el Directorio o los administradores.</w:t>
      </w:r>
    </w:p>
    <w:p>
      <w:pPr>
        <w:numPr>
          <w:ilvl w:val="0"/>
          <w:numId w:val="11"/>
        </w:numPr>
      </w:pPr>
      <w:r>
        <w:rPr>
          <w:rFonts w:ascii="Arial" w:hAnsi="Arial" w:eastAsia="Arial"/>
          <w:b/>
          <w:color w:val="10384D"/>
          <w:sz w:val="21"/>
        </w:rPr>
        <w:t xml:space="preserve">Publique la convocatoria en el medio correspondiente. </w:t>
      </w:r>
      <w:r>
        <w:rPr>
          <w:rFonts w:ascii="Arial" w:hAnsi="Arial" w:eastAsia="Arial"/>
          <w:color w:val="29404C"/>
          <w:sz w:val="21"/>
        </w:rPr>
        <w:t>La regla general es un aviso en un diario o periódico de la capital de la provincia del domicilio de la comunidad; si no existe, en uno de la capital regional. La carta certificada es una exigencia legal adicional para las juntas extraordinarias, salvo que los estatutos también la exijan para la ordinaria.</w:t>
      </w:r>
    </w:p>
    <w:p>
      <w:pPr>
        <w:numPr>
          <w:ilvl w:val="0"/>
          <w:numId w:val="11"/>
        </w:numPr>
      </w:pPr>
      <w:r>
        <w:rPr>
          <w:rFonts w:ascii="Arial" w:hAnsi="Arial" w:eastAsia="Arial"/>
          <w:b/>
          <w:color w:val="10384D"/>
          <w:sz w:val="21"/>
        </w:rPr>
        <w:t xml:space="preserve">Respete la anticipación mínima. </w:t>
      </w:r>
      <w:r>
        <w:rPr>
          <w:rFonts w:ascii="Arial" w:hAnsi="Arial" w:eastAsia="Arial"/>
          <w:color w:val="29404C"/>
          <w:sz w:val="21"/>
        </w:rPr>
        <w:t>La convocatoria debe efectuarse con al menos diez días de anticipación e indicar lugar, día, hora y objeto. Para reducir riesgos, publique con margen y conserve el comprobante de publicación.</w:t>
      </w:r>
    </w:p>
    <w:p>
      <w:pPr>
        <w:numPr>
          <w:ilvl w:val="0"/>
          <w:numId w:val="11"/>
        </w:numPr>
      </w:pPr>
      <w:r>
        <w:rPr>
          <w:rFonts w:ascii="Arial" w:hAnsi="Arial" w:eastAsia="Arial"/>
          <w:b/>
          <w:color w:val="10384D"/>
          <w:sz w:val="21"/>
        </w:rPr>
        <w:t xml:space="preserve">Declare expresamente ambas citaciones. </w:t>
      </w:r>
      <w:r>
        <w:rPr>
          <w:rFonts w:ascii="Arial" w:hAnsi="Arial" w:eastAsia="Arial"/>
          <w:color w:val="29404C"/>
          <w:sz w:val="21"/>
        </w:rPr>
        <w:t>Pueden fijarse el mismo día, siempre que exista una diferencia mínima de 30 minutos. Si no se alcanza quórum en la primera, la segunda se constituye con quienes asistan.</w:t>
      </w:r>
    </w:p>
    <w:p>
      <w:pPr>
        <w:numPr>
          <w:ilvl w:val="0"/>
          <w:numId w:val="11"/>
        </w:numPr>
      </w:pPr>
      <w:r>
        <w:rPr>
          <w:rFonts w:ascii="Arial" w:hAnsi="Arial" w:eastAsia="Arial"/>
          <w:b/>
          <w:color w:val="10384D"/>
          <w:sz w:val="21"/>
        </w:rPr>
        <w:t xml:space="preserve">No confunda quórum con votación. </w:t>
      </w:r>
      <w:r>
        <w:rPr>
          <w:rFonts w:ascii="Arial" w:hAnsi="Arial" w:eastAsia="Arial"/>
          <w:color w:val="29404C"/>
          <w:sz w:val="21"/>
        </w:rPr>
        <w:t>El quórum de primera citación se calcula por comuneros con derecho a voto; cada comunero vota según las acciones que posea. Sólo votan quienes estén inscritos en el Registro de la Comunidad y al día en sus cuotas. El mandato debe ser notarial, salvo que se otorgue a otro comunero, caso en el que basta carta poder simple. Los acuerdos se adoptan por mayoría absoluta de los votos emitidos, salvo una mayoría especial aplicable.</w:t>
      </w:r>
    </w:p>
    <w:p>
      <w:pPr>
        <w:numPr>
          <w:ilvl w:val="0"/>
          <w:numId w:val="11"/>
        </w:numPr>
      </w:pPr>
      <w:r>
        <w:rPr>
          <w:rFonts w:ascii="Arial" w:hAnsi="Arial" w:eastAsia="Arial"/>
          <w:b/>
          <w:color w:val="10384D"/>
          <w:sz w:val="21"/>
        </w:rPr>
        <w:t xml:space="preserve">Complete la tabla con materias concretas. </w:t>
      </w:r>
      <w:r>
        <w:rPr>
          <w:rFonts w:ascii="Arial" w:hAnsi="Arial" w:eastAsia="Arial"/>
          <w:color w:val="29404C"/>
          <w:sz w:val="21"/>
        </w:rPr>
        <w:t>La junta ordinaria debe abordar las materias del artículo 226 y puede tratar otros asuntos, excepto aquellos que exijan citación especial. Evite usar “varios” como sustituto de un asunto relevante que será sometido a acuerdo.</w:t>
      </w:r>
    </w:p>
    <w:p>
      <w:pPr>
        <w:numPr>
          <w:ilvl w:val="0"/>
          <w:numId w:val="11"/>
        </w:numPr>
      </w:pPr>
      <w:r>
        <w:rPr>
          <w:rFonts w:ascii="Arial" w:hAnsi="Arial" w:eastAsia="Arial"/>
          <w:b/>
          <w:color w:val="10384D"/>
          <w:sz w:val="21"/>
        </w:rPr>
        <w:t xml:space="preserve">Use la modalidad presencial como regla para este modelo. </w:t>
      </w:r>
      <w:r>
        <w:rPr>
          <w:rFonts w:ascii="Arial" w:hAnsi="Arial" w:eastAsia="Arial"/>
          <w:color w:val="29404C"/>
          <w:sz w:val="21"/>
        </w:rPr>
        <w:t>La guía DGA de 2020 sobre reuniones remotas fue excepcional, se refirió a juntas extraordinarias durante el Estado de Catástrofe y excluyó materias propias de la junta ordinaria. No la utilice como fundamento genérico para convocar una junta ordinaria virtual.</w:t>
      </w:r>
    </w:p>
    <w:p>
      <w:pPr>
        <w:numPr>
          <w:ilvl w:val="0"/>
          <w:numId w:val="11"/>
        </w:numPr>
      </w:pPr>
      <w:r>
        <w:rPr>
          <w:rFonts w:ascii="Arial" w:hAnsi="Arial" w:eastAsia="Arial"/>
          <w:b/>
          <w:color w:val="10384D"/>
          <w:sz w:val="21"/>
        </w:rPr>
        <w:t xml:space="preserve">Conserve los respaldos. </w:t>
      </w:r>
      <w:r>
        <w:rPr>
          <w:rFonts w:ascii="Arial" w:hAnsi="Arial" w:eastAsia="Arial"/>
          <w:color w:val="29404C"/>
          <w:sz w:val="21"/>
        </w:rPr>
        <w:t>Archive la publicación, la citación definitiva, los poderes, el registro de asistencia y votación, el acta y los antecedentes presentados a la junta.</w:t>
      </w:r>
    </w:p>
    <w:p>
      <w:pPr>
        <w:pStyle w:val="Heading2"/>
      </w:pPr>
      <w:r>
        <w:t>Fuentes de referencia</w:t>
      </w:r>
    </w:p>
    <w:p>
      <w:pPr>
        <w:numPr>
          <w:ilvl w:val="0"/>
          <w:numId w:val="12"/>
        </w:numPr>
        <w:spacing w:after="100"/>
      </w:pPr>
      <w:r>
        <w:rPr>
          <w:rFonts w:ascii="Arial" w:hAnsi="Arial" w:eastAsia="Arial"/>
          <w:color w:val="29404C"/>
          <w:sz w:val="19"/>
        </w:rPr>
        <w:t xml:space="preserve">Código de Aguas (DFL N.º 1.122): artículos 218 a 229, 241 N.º 15 y 251. </w:t>
      </w:r>
      <w:hyperlink r:id="rId11">
        <w:r>
          <w:rPr>
            <w:rFonts w:ascii="Arial" w:hAnsi="Arial"/>
            <w:color w:val="174B65"/>
            <w:u w:val="single"/>
          </w:rPr>
          <w:t>Consultar en LeyChile</w:t>
        </w:r>
      </w:hyperlink>
    </w:p>
    <w:p>
      <w:pPr>
        <w:numPr>
          <w:ilvl w:val="0"/>
          <w:numId w:val="12"/>
        </w:numPr>
        <w:spacing w:after="100"/>
      </w:pPr>
      <w:r>
        <w:rPr>
          <w:rFonts w:ascii="Arial" w:hAnsi="Arial" w:eastAsia="Arial"/>
          <w:color w:val="29404C"/>
          <w:sz w:val="19"/>
        </w:rPr>
        <w:t xml:space="preserve">JVRE: “El ABC de las Juntas Generales para las Comunidades de Aguas”. </w:t>
      </w:r>
      <w:hyperlink r:id="rId12">
        <w:r>
          <w:rPr>
            <w:rFonts w:ascii="Arial" w:hAnsi="Arial"/>
            <w:color w:val="174B65"/>
            <w:u w:val="single"/>
          </w:rPr>
          <w:t>Ver artículo</w:t>
        </w:r>
      </w:hyperlink>
    </w:p>
    <w:p>
      <w:pPr>
        <w:numPr>
          <w:ilvl w:val="0"/>
          <w:numId w:val="12"/>
        </w:numPr>
        <w:spacing w:after="100"/>
      </w:pPr>
      <w:r>
        <w:rPr>
          <w:rFonts w:ascii="Arial" w:hAnsi="Arial" w:eastAsia="Arial"/>
          <w:color w:val="29404C"/>
          <w:sz w:val="19"/>
        </w:rPr>
        <w:t xml:space="preserve">DGA: instrucciones excepcionales de 2020 para juntas generales extraordinarias remotas. </w:t>
      </w:r>
      <w:hyperlink r:id="rId13">
        <w:r>
          <w:rPr>
            <w:rFonts w:ascii="Arial" w:hAnsi="Arial"/>
            <w:color w:val="174B65"/>
            <w:u w:val="single"/>
          </w:rPr>
          <w:t>Ver instrucciones</w:t>
        </w:r>
      </w:hyperlink>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after="0"/>
    </w:pPr>
    <w:r>
      <w:rPr>
        <w:rFonts w:ascii="Arial" w:hAnsi="Arial" w:eastAsia="Arial"/>
        <w:color w:val="5E727C"/>
        <w:sz w:val="16"/>
      </w:rPr>
      <w:t>Documento de apoyo · Verifique siempre los estatutos de la comunidad</w:t>
    </w:r>
    <w:r>
      <w:tab/>
    </w:r>
    <w:r>
      <w:rPr>
        <w:rFonts w:ascii="Arial" w:hAnsi="Arial" w:eastAsia="Arial"/>
        <w:color w:val="5E727C"/>
        <w:sz w:val="16"/>
      </w:rPr>
      <w:t xml:space="preserve">Página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after="0"/>
    </w:pPr>
    <w:r>
      <w:rPr>
        <w:rFonts w:ascii="Arial" w:hAnsi="Arial" w:eastAsia="Arial"/>
        <w:b/>
        <w:color w:val="174B65"/>
        <w:sz w:val="17"/>
      </w:rPr>
      <w:t>JVRE  |  SECCIÓN JURÍDICA</w:t>
    </w:r>
    <w:r>
      <w:tab/>
    </w:r>
    <w:r>
      <w:rPr>
        <w:rFonts w:ascii="Arial" w:hAnsi="Arial" w:eastAsia="Arial"/>
        <w:b/>
        <w:color w:val="5E727C"/>
        <w:sz w:val="17"/>
      </w:rPr>
      <w:t>MODELO EDITABLE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720"/>
        </w:tabs>
        <w:ind w:left="720" w:hanging="360"/>
        <w:spacing w:after="80" w:line="280" w:lineRule="auto"/>
      </w:pPr>
    </w:lvl>
  </w:abstractNum>
  <w:num w:numId="10">
    <w:abstractNumId w:val="9"/>
  </w:num>
  <w:abstractNum w:abstractNumId="10">
    <w:multiLevelType w:val="singleLevel"/>
    <w:lvl w:ilvl="0">
      <w:start w:val="1"/>
      <w:numFmt w:val="decimal"/>
      <w:lvlText w:val="%1."/>
      <w:suff w:val="tab"/>
      <w:pPr>
        <w:tabs>
          <w:tab w:val="num" w:pos="720"/>
        </w:tabs>
        <w:ind w:left="720" w:hanging="360"/>
        <w:spacing w:after="160" w:line="280" w:lineRule="auto"/>
      </w:pPr>
    </w:lvl>
  </w:abstractNum>
  <w:num w:numId="11">
    <w:abstractNumId w:val="10"/>
  </w:num>
  <w:abstractNum w:abstractNumId="11">
    <w:multiLevelType w:val="singleLevel"/>
    <w:lvl w:ilvl="0">
      <w:start w:val="1"/>
      <w:numFmt w:val="bullet"/>
      <w:lvlText w:val="•"/>
      <w:suff w:val="tab"/>
      <w:pPr>
        <w:tabs>
          <w:tab w:val="num" w:pos="720"/>
        </w:tabs>
        <w:ind w:left="720" w:hanging="360"/>
        <w:spacing w:after="100" w:line="280" w:lineRule="auto"/>
      </w:p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Arial" w:hAnsi="Arial"/>
      <w:color w:val="29404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174B6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174B6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10384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cn.cl/leychile/navegar?idNorma=5605" TargetMode="External"/><Relationship Id="rId12" Type="http://schemas.openxmlformats.org/officeDocument/2006/relationships/hyperlink" Target="https://www.rioelqui.cl/el-abc-de-las-juntas-generales-para-las-comunidades-de-aguas/" TargetMode="External"/><Relationship Id="rId13" Type="http://schemas.openxmlformats.org/officeDocument/2006/relationships/hyperlink" Target="https://dga.mop.gob.cl/instrucciones-para-realizar-juntas-generales-extraordinarias-por-via-rem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citación a Junta General Ordinaria de Comuneros</dc:title>
  <dc:subject>Plantilla editable para comunidades de aguas</dc:subject>
  <dc:creator>Junta de Vigilancia del Río Elqui y sus Afluentes</dc:creator>
  <cp:keywords>JVRE, comunidad de aguas, junta general ordinaria, citación</cp:keywords>
  <dc:description>generated by python-docx</dc:description>
  <cp:lastModifiedBy/>
  <cp:revision>1</cp:revision>
  <dcterms:created xsi:type="dcterms:W3CDTF">2013-12-23T23:15:00Z</dcterms:created>
  <dcterms:modified xsi:type="dcterms:W3CDTF">2013-12-23T23:15:00Z</dcterms:modified>
  <cp:category/>
</cp:coreProperties>
</file>