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00"/>
      </w:pPr>
      <w:r>
        <w:rPr>
          <w:rFonts w:ascii="Arial" w:hAnsi="Arial" w:eastAsia="Arial"/>
          <w:b/>
          <w:color w:val="D9843B"/>
          <w:sz w:val="18"/>
        </w:rPr>
        <w:t>MODELO DE CITACIÓN</w:t>
      </w:r>
    </w:p>
    <w:p>
      <w:pPr>
        <w:keepNext/>
        <w:spacing w:before="0" w:after="80"/>
      </w:pPr>
      <w:r>
        <w:rPr>
          <w:rFonts w:ascii="Arial" w:hAnsi="Arial" w:eastAsia="Arial"/>
          <w:b/>
          <w:color w:val="10384D"/>
          <w:sz w:val="40"/>
        </w:rPr>
        <w:t>Citación a Junta General Extraordinaria de Comuneros</w:t>
      </w:r>
    </w:p>
    <w:p>
      <w:pPr>
        <w:spacing w:before="0" w:after="60"/>
      </w:pPr>
      <w:r>
        <w:rPr>
          <w:rFonts w:ascii="Arial" w:hAnsi="Arial" w:eastAsia="Arial"/>
          <w:b/>
          <w:color w:val="174B65"/>
          <w:sz w:val="26"/>
        </w:rPr>
        <w:t>[NOMBRE OFICIAL DE LA COMUNIDAD DE AGUAS]</w:t>
      </w:r>
    </w:p>
    <w:p>
      <w:pPr>
        <w:spacing w:before="0" w:after="160"/>
      </w:pPr>
      <w:r>
        <w:rPr>
          <w:rFonts w:ascii="Arial" w:hAnsi="Arial" w:eastAsia="Arial"/>
          <w:b/>
          <w:color w:val="5E727C"/>
          <w:sz w:val="19"/>
        </w:rPr>
        <w:t>[DOMICILIO / REGISTRO DGA O ANTECEDENTE DE IDENTIFICACIÓN, SI CORRESPONDE]</w:t>
      </w:r>
    </w:p>
    <w:p>
      <w:pPr>
        <w:spacing w:after="160"/>
      </w:pPr>
      <w:r>
        <w:rPr>
          <w:rFonts w:ascii="Arial" w:hAnsi="Arial" w:eastAsia="Arial"/>
          <w:color w:val="29404C"/>
          <w:sz w:val="22"/>
        </w:rPr>
        <w:t>El Directorio de [NOMBRE DE LA COMUNIDAD], de conformidad con sus estatutos y con los artículos 218 y siguientes del Código de Aguas, cita a sus comuneros a Junta General Extraordinaria, que se celebrará en las condiciones que se indican a continuación:</w:t>
      </w:r>
    </w:p>
    <w:tbl>
      <w:tblPr>
        <w:tblW w:type="dxa" w:w="9360"/>
        <w:jc w:val="left"/>
        <w:tblLayout w:type="fixed"/>
        <w:tblLook w:firstColumn="1" w:firstRow="1" w:lastColumn="0" w:lastRow="0" w:noHBand="0" w:noVBand="1" w:val="04A0"/>
        <w:tblInd w:w="120" w:type="dxa"/>
        <w:tblBorders>
          <w:top w:val="single" w:sz="6" w:space="0" w:color="D7E6EC"/>
          <w:left w:val="single" w:sz="6" w:space="0" w:color="D7E6EC"/>
          <w:bottom w:val="single" w:sz="6" w:space="0" w:color="D7E6EC"/>
          <w:right w:val="single" w:sz="6" w:space="0" w:color="D7E6EC"/>
          <w:insideH w:val="single" w:sz="6" w:space="0" w:color="D7E6EC"/>
          <w:insideV w:val="single" w:sz="6" w:space="0" w:color="D7E6EC"/>
        </w:tblBorders>
      </w:tblPr>
      <w:tblGrid>
        <w:gridCol w:w="2520"/>
        <w:gridCol w:w="6840"/>
      </w:tblGrid>
      <w:tr>
        <w:tc>
          <w:tcPr>
            <w:tcW w:type="dxa" w:w="2520"/>
            <w:tcMar>
              <w:top w:w="80" w:type="dxa"/>
              <w:start w:w="120" w:type="dxa"/>
              <w:bottom w:w="80" w:type="dxa"/>
              <w:end w:w="120" w:type="dxa"/>
            </w:tcMar>
            <w:vAlign w:val="center"/>
            <w:shd w:fill="E4F5FB"/>
          </w:tcPr>
          <w:p>
            <w:pPr>
              <w:spacing w:before="0" w:after="0" w:line="264" w:lineRule="auto"/>
            </w:pPr>
            <w:r>
              <w:rPr>
                <w:rFonts w:ascii="Arial" w:hAnsi="Arial" w:eastAsia="Arial"/>
                <w:b/>
                <w:color w:val="10384D"/>
                <w:sz w:val="21"/>
              </w:rPr>
              <w:t>Fecha</w:t>
            </w:r>
          </w:p>
        </w:tc>
        <w:tc>
          <w:tcPr>
            <w:tcW w:type="dxa" w:w="6840"/>
            <w:tcMar>
              <w:top w:w="80" w:type="dxa"/>
              <w:start w:w="120" w:type="dxa"/>
              <w:bottom w:w="80" w:type="dxa"/>
              <w:end w:w="120" w:type="dxa"/>
            </w:tcMar>
            <w:vAlign w:val="center"/>
          </w:tcPr>
          <w:p>
            <w:pPr>
              <w:spacing w:before="0" w:after="0" w:line="264" w:lineRule="auto"/>
            </w:pPr>
            <w:r>
              <w:rPr>
                <w:rFonts w:ascii="Arial" w:hAnsi="Arial" w:eastAsia="Arial"/>
                <w:b/>
                <w:color w:val="174B65"/>
                <w:sz w:val="21"/>
              </w:rPr>
              <w:t>[DÍA DE LA SEMANA, DÍA, MES Y AÑO]</w:t>
            </w:r>
          </w:p>
        </w:tc>
      </w:tr>
      <w:tr>
        <w:tc>
          <w:tcPr>
            <w:tcW w:type="dxa" w:w="2520"/>
            <w:tcMar>
              <w:top w:w="80" w:type="dxa"/>
              <w:start w:w="120" w:type="dxa"/>
              <w:bottom w:w="80" w:type="dxa"/>
              <w:end w:w="120" w:type="dxa"/>
            </w:tcMar>
            <w:vAlign w:val="center"/>
            <w:shd w:fill="E4F5FB"/>
          </w:tcPr>
          <w:p>
            <w:pPr>
              <w:spacing w:before="0" w:after="0" w:line="264" w:lineRule="auto"/>
            </w:pPr>
            <w:r>
              <w:rPr>
                <w:rFonts w:ascii="Arial" w:hAnsi="Arial" w:eastAsia="Arial"/>
                <w:b/>
                <w:color w:val="10384D"/>
                <w:sz w:val="21"/>
              </w:rPr>
              <w:t>Lugar</w:t>
            </w:r>
          </w:p>
        </w:tc>
        <w:tc>
          <w:tcPr>
            <w:tcW w:type="dxa" w:w="6840"/>
            <w:tcMar>
              <w:top w:w="80" w:type="dxa"/>
              <w:start w:w="120" w:type="dxa"/>
              <w:bottom w:w="80" w:type="dxa"/>
              <w:end w:w="120" w:type="dxa"/>
            </w:tcMar>
            <w:vAlign w:val="center"/>
          </w:tcPr>
          <w:p>
            <w:pPr>
              <w:spacing w:before="0" w:after="0" w:line="264" w:lineRule="auto"/>
            </w:pPr>
            <w:r>
              <w:rPr>
                <w:rFonts w:ascii="Arial" w:hAnsi="Arial" w:eastAsia="Arial"/>
                <w:b/>
                <w:color w:val="174B65"/>
                <w:sz w:val="21"/>
              </w:rPr>
              <w:t>[NOMBRE DEL RECINTO Y DIRECCIÓN COMPLETA]</w:t>
            </w:r>
          </w:p>
        </w:tc>
      </w:tr>
      <w:tr>
        <w:tc>
          <w:tcPr>
            <w:tcW w:type="dxa" w:w="2520"/>
            <w:tcMar>
              <w:top w:w="80" w:type="dxa"/>
              <w:start w:w="120" w:type="dxa"/>
              <w:bottom w:w="80" w:type="dxa"/>
              <w:end w:w="120" w:type="dxa"/>
            </w:tcMar>
            <w:vAlign w:val="center"/>
            <w:shd w:fill="E4F5FB"/>
          </w:tcPr>
          <w:p>
            <w:pPr>
              <w:spacing w:before="0" w:after="0" w:line="264" w:lineRule="auto"/>
            </w:pPr>
            <w:r>
              <w:rPr>
                <w:rFonts w:ascii="Arial" w:hAnsi="Arial" w:eastAsia="Arial"/>
                <w:b/>
                <w:color w:val="10384D"/>
                <w:sz w:val="21"/>
              </w:rPr>
              <w:t>Primera citación</w:t>
            </w:r>
          </w:p>
        </w:tc>
        <w:tc>
          <w:tcPr>
            <w:tcW w:type="dxa" w:w="6840"/>
            <w:tcMar>
              <w:top w:w="80" w:type="dxa"/>
              <w:start w:w="120" w:type="dxa"/>
              <w:bottom w:w="80" w:type="dxa"/>
              <w:end w:w="120" w:type="dxa"/>
            </w:tcMar>
            <w:vAlign w:val="center"/>
          </w:tcPr>
          <w:p>
            <w:pPr>
              <w:spacing w:before="0" w:after="0" w:line="264" w:lineRule="auto"/>
            </w:pPr>
            <w:r>
              <w:rPr>
                <w:rFonts w:ascii="Arial" w:hAnsi="Arial" w:eastAsia="Arial"/>
                <w:b/>
                <w:color w:val="174B65"/>
                <w:sz w:val="21"/>
              </w:rPr>
              <w:t>[HORA] horas</w:t>
            </w:r>
          </w:p>
        </w:tc>
      </w:tr>
      <w:tr>
        <w:tc>
          <w:tcPr>
            <w:tcW w:type="dxa" w:w="2520"/>
            <w:tcMar>
              <w:top w:w="80" w:type="dxa"/>
              <w:start w:w="120" w:type="dxa"/>
              <w:bottom w:w="80" w:type="dxa"/>
              <w:end w:w="120" w:type="dxa"/>
            </w:tcMar>
            <w:vAlign w:val="center"/>
            <w:shd w:fill="E4F5FB"/>
          </w:tcPr>
          <w:p>
            <w:pPr>
              <w:spacing w:before="0" w:after="0" w:line="264" w:lineRule="auto"/>
            </w:pPr>
            <w:r>
              <w:rPr>
                <w:rFonts w:ascii="Arial" w:hAnsi="Arial" w:eastAsia="Arial"/>
                <w:b/>
                <w:color w:val="10384D"/>
                <w:sz w:val="21"/>
              </w:rPr>
              <w:t>Segunda citación</w:t>
            </w:r>
          </w:p>
        </w:tc>
        <w:tc>
          <w:tcPr>
            <w:tcW w:type="dxa" w:w="6840"/>
            <w:tcMar>
              <w:top w:w="80" w:type="dxa"/>
              <w:start w:w="120" w:type="dxa"/>
              <w:bottom w:w="80" w:type="dxa"/>
              <w:end w:w="120" w:type="dxa"/>
            </w:tcMar>
            <w:vAlign w:val="center"/>
          </w:tcPr>
          <w:p>
            <w:pPr>
              <w:spacing w:before="0" w:after="0" w:line="264" w:lineRule="auto"/>
            </w:pPr>
            <w:r>
              <w:rPr>
                <w:rFonts w:ascii="Arial" w:hAnsi="Arial" w:eastAsia="Arial"/>
                <w:b/>
                <w:color w:val="174B65"/>
                <w:sz w:val="21"/>
              </w:rPr>
              <w:t>[HORA] horas · mínimo 30 minutos después si es el mismo día</w:t>
            </w:r>
          </w:p>
        </w:tc>
      </w:tr>
    </w:tbl>
    <w:p>
      <w:pPr>
        <w:pStyle w:val="Heading2"/>
        <w:spacing w:before="180" w:after="100"/>
      </w:pPr>
      <w:r>
        <w:t>Objeto de la junta y materias a tratar</w:t>
      </w:r>
    </w:p>
    <w:p>
      <w:pPr>
        <w:numPr>
          <w:ilvl w:val="0"/>
          <w:numId w:val="10"/>
        </w:numPr>
      </w:pPr>
      <w:r>
        <w:rPr>
          <w:rFonts w:ascii="Arial" w:hAnsi="Arial" w:eastAsia="Arial"/>
          <w:color w:val="29404C"/>
          <w:sz w:val="20"/>
        </w:rPr>
      </w:r>
      <w:r>
        <w:rPr>
          <w:rFonts w:ascii="Arial" w:hAnsi="Arial" w:eastAsia="Arial"/>
          <w:b/>
          <w:color w:val="174B65"/>
          <w:sz w:val="20"/>
        </w:rPr>
        <w:t>[DESCRIBIR CON PRECISIÓN LA PRIMERA MATERIA Y EL ACUERDO QUE SE PROPONE ADOPTAR].</w:t>
      </w:r>
    </w:p>
    <w:p>
      <w:pPr>
        <w:numPr>
          <w:ilvl w:val="0"/>
          <w:numId w:val="10"/>
        </w:numPr>
      </w:pPr>
      <w:r>
        <w:rPr>
          <w:rFonts w:ascii="Arial" w:hAnsi="Arial" w:eastAsia="Arial"/>
          <w:color w:val="29404C"/>
          <w:sz w:val="20"/>
        </w:rPr>
      </w:r>
      <w:r>
        <w:rPr>
          <w:rFonts w:ascii="Arial" w:hAnsi="Arial" w:eastAsia="Arial"/>
          <w:b/>
          <w:color w:val="174B65"/>
          <w:sz w:val="20"/>
        </w:rPr>
        <w:t>[DESCRIBIR LA SEGUNDA MATERIA Y EL ACUERDO PROPUESTO, SI CORRESPONDE].</w:t>
      </w:r>
    </w:p>
    <w:p>
      <w:pPr>
        <w:numPr>
          <w:ilvl w:val="0"/>
          <w:numId w:val="10"/>
        </w:numPr>
      </w:pPr>
      <w:r>
        <w:rPr>
          <w:rFonts w:ascii="Arial" w:hAnsi="Arial" w:eastAsia="Arial"/>
          <w:color w:val="29404C"/>
          <w:sz w:val="20"/>
        </w:rPr>
      </w:r>
      <w:r>
        <w:rPr>
          <w:rFonts w:ascii="Arial" w:hAnsi="Arial" w:eastAsia="Arial"/>
          <w:b/>
          <w:color w:val="174B65"/>
          <w:sz w:val="20"/>
        </w:rPr>
        <w:t>[DESCRIBIR LA TERCERA MATERIA Y EL ACUERDO PROPUESTO, SI CORRESPONDE].</w:t>
      </w:r>
    </w:p>
    <w:p>
      <w:pPr>
        <w:keepLines/>
        <w:spacing w:before="80" w:after="140"/>
        <w:ind w:left="173" w:right="115"/>
        <w:shd w:fill="E4F5FB"/>
        <w:pBdr>
          <w:left w:val="single" w:sz="18" w:space="8" w:color="174B65"/>
        </w:pBdr>
      </w:pPr>
      <w:r>
        <w:rPr>
          <w:rFonts w:ascii="Arial" w:hAnsi="Arial" w:eastAsia="Arial"/>
          <w:b/>
          <w:color w:val="10384D"/>
          <w:sz w:val="18"/>
        </w:rPr>
        <w:t xml:space="preserve">OBJETO LIMITADO. </w:t>
      </w:r>
      <w:r>
        <w:rPr>
          <w:rFonts w:ascii="Arial" w:hAnsi="Arial" w:eastAsia="Arial"/>
          <w:color w:val="29404C"/>
          <w:sz w:val="18"/>
        </w:rPr>
        <w:t>La junta sólo podrá ocuparse de las materias expresamente indicadas en esta convocatoria. No se incluirán ni someterán a acuerdo “puntos varios”.</w:t>
      </w:r>
    </w:p>
    <w:p>
      <w:pPr>
        <w:keepLines/>
        <w:spacing w:before="80" w:after="140"/>
        <w:ind w:left="173" w:right="115"/>
        <w:shd w:fill="F3F6F7"/>
        <w:pBdr>
          <w:left w:val="single" w:sz="18" w:space="8" w:color="D9843B"/>
        </w:pBdr>
      </w:pPr>
      <w:r>
        <w:rPr>
          <w:rFonts w:ascii="Arial" w:hAnsi="Arial" w:eastAsia="Arial"/>
          <w:b/>
          <w:color w:val="10384D"/>
          <w:sz w:val="18"/>
        </w:rPr>
        <w:t xml:space="preserve">QUÓRUM. </w:t>
      </w:r>
      <w:r>
        <w:rPr>
          <w:rFonts w:ascii="Arial" w:hAnsi="Arial" w:eastAsia="Arial"/>
          <w:color w:val="29404C"/>
          <w:sz w:val="18"/>
        </w:rPr>
        <w:t>En primera citación habrá sala con la mayoría absoluta de los comuneros con derecho a voto. En segunda citación, se celebrará con los comuneros con derecho a voto que asistan. Ambas citaciones se efectúan para el mismo día y con al menos 30 minutos de diferencia.</w:t>
      </w:r>
    </w:p>
    <w:p>
      <w:pPr>
        <w:spacing w:before="40" w:after="160"/>
      </w:pPr>
      <w:r>
        <w:rPr>
          <w:rFonts w:ascii="Arial" w:hAnsi="Arial" w:eastAsia="Arial"/>
          <w:b/>
          <w:color w:val="174B65"/>
          <w:sz w:val="21"/>
        </w:rPr>
        <w:t>[CIUDAD], [DÍA] de [MES] de [AÑO].</w:t>
      </w:r>
    </w:p>
    <w:tbl>
      <w:tblPr>
        <w:tblW w:type="dxa" w:w="9360"/>
        <w:tblLayout w:type="fixed"/>
        <w:tblLook w:firstColumn="1" w:firstRow="1" w:lastColumn="0" w:lastRow="0" w:noHBand="0" w:noVBand="1" w:val="04A0"/>
        <w:jc w:val="left"/>
        <w:tblInd w:w="120" w:type="dxa"/>
        <w:tblBorders>
          <w:top w:val="nil"/>
          <w:left w:val="nil"/>
          <w:bottom w:val="nil"/>
          <w:right w:val="nil"/>
          <w:insideH w:val="nil"/>
          <w:insideV w:val="nil"/>
        </w:tblBorders>
      </w:tblPr>
      <w:tblGrid>
        <w:gridCol w:w="4680"/>
        <w:gridCol w:w="4680"/>
      </w:tblGrid>
      <w:tr>
        <w:tc>
          <w:tcPr>
            <w:tcW w:type="dxa" w:w="4680"/>
            <w:tcMar>
              <w:top w:w="60" w:type="dxa"/>
              <w:start w:w="100" w:type="dxa"/>
              <w:bottom w:w="60" w:type="dxa"/>
              <w:end w:w="100" w:type="dxa"/>
            </w:tcMar>
            <w:vAlign w:val="center"/>
          </w:tcPr>
          <w:p>
            <w:pPr>
              <w:spacing w:before="120" w:after="40"/>
              <w:jc w:val="center"/>
            </w:pPr>
            <w:r>
              <w:rPr>
                <w:rFonts w:ascii="Arial" w:hAnsi="Arial" w:eastAsia="Arial"/>
                <w:color w:val="5E727C"/>
                <w:sz w:val="18"/>
              </w:rPr>
              <w:t>________________________________</w:t>
            </w:r>
          </w:p>
        </w:tc>
        <w:tc>
          <w:tcPr>
            <w:tcW w:type="dxa" w:w="4680"/>
            <w:tcMar>
              <w:top w:w="60" w:type="dxa"/>
              <w:start w:w="100" w:type="dxa"/>
              <w:bottom w:w="60" w:type="dxa"/>
              <w:end w:w="100" w:type="dxa"/>
            </w:tcMar>
            <w:vAlign w:val="center"/>
          </w:tcPr>
          <w:p>
            <w:pPr>
              <w:spacing w:before="120" w:after="40"/>
              <w:jc w:val="center"/>
            </w:pPr>
            <w:r>
              <w:rPr>
                <w:rFonts w:ascii="Arial" w:hAnsi="Arial" w:eastAsia="Arial"/>
                <w:color w:val="5E727C"/>
                <w:sz w:val="18"/>
              </w:rPr>
              <w:t>________________________________</w:t>
            </w:r>
          </w:p>
        </w:tc>
      </w:tr>
      <w:tr>
        <w:tc>
          <w:tcPr>
            <w:tcW w:type="dxa" w:w="4680"/>
            <w:tcMar>
              <w:top w:w="60" w:type="dxa"/>
              <w:start w:w="100" w:type="dxa"/>
              <w:bottom w:w="60" w:type="dxa"/>
              <w:end w:w="100" w:type="dxa"/>
            </w:tcMar>
            <w:vAlign w:val="center"/>
          </w:tcPr>
          <w:p>
            <w:pPr>
              <w:spacing w:before="0" w:after="0"/>
              <w:jc w:val="center"/>
            </w:pPr>
            <w:r>
              <w:rPr>
                <w:rFonts w:ascii="Arial" w:hAnsi="Arial" w:eastAsia="Arial"/>
                <w:b/>
                <w:color w:val="10384D"/>
                <w:sz w:val="17"/>
              </w:rPr>
              <w:t>[NOMBRE PRESIDENTE/A]</w:t>
              <w:br/>
              <w:t>PRESIDENTE/A</w:t>
            </w:r>
          </w:p>
        </w:tc>
        <w:tc>
          <w:tcPr>
            <w:tcW w:type="dxa" w:w="4680"/>
            <w:tcMar>
              <w:top w:w="60" w:type="dxa"/>
              <w:start w:w="100" w:type="dxa"/>
              <w:bottom w:w="60" w:type="dxa"/>
              <w:end w:w="100" w:type="dxa"/>
            </w:tcMar>
            <w:vAlign w:val="center"/>
          </w:tcPr>
          <w:p>
            <w:pPr>
              <w:spacing w:before="0" w:after="0"/>
              <w:jc w:val="center"/>
            </w:pPr>
            <w:r>
              <w:rPr>
                <w:rFonts w:ascii="Arial" w:hAnsi="Arial" w:eastAsia="Arial"/>
                <w:b/>
                <w:color w:val="10384D"/>
                <w:sz w:val="17"/>
              </w:rPr>
              <w:t>[NOMBRE SECRETARIO/A]</w:t>
              <w:br/>
              <w:t>SECRETARIO/A</w:t>
            </w:r>
          </w:p>
        </w:tc>
      </w:tr>
    </w:tbl>
    <w:p>
      <w:r>
        <w:br w:type="page"/>
      </w:r>
    </w:p>
    <w:p>
      <w:pPr>
        <w:spacing w:before="80" w:after="100"/>
      </w:pPr>
      <w:r>
        <w:rPr>
          <w:rFonts w:ascii="Arial" w:hAnsi="Arial" w:eastAsia="Arial"/>
          <w:b/>
          <w:color w:val="D9843B"/>
          <w:sz w:val="18"/>
        </w:rPr>
        <w:t>ORIENTACIONES DE USO</w:t>
      </w:r>
    </w:p>
    <w:p>
      <w:pPr>
        <w:spacing w:before="0" w:after="80"/>
      </w:pPr>
      <w:r>
        <w:rPr>
          <w:rFonts w:ascii="Arial" w:hAnsi="Arial" w:eastAsia="Arial"/>
          <w:b/>
          <w:color w:val="10384D"/>
          <w:sz w:val="36"/>
        </w:rPr>
        <w:t>Cómo completar y publicar esta citación</w:t>
      </w:r>
    </w:p>
    <w:p>
      <w:pPr>
        <w:spacing w:before="0" w:after="180"/>
      </w:pPr>
      <w:r>
        <w:rPr>
          <w:rFonts w:ascii="Arial" w:hAnsi="Arial" w:eastAsia="Arial"/>
          <w:i/>
          <w:color w:val="5E727C"/>
          <w:sz w:val="19"/>
        </w:rPr>
        <w:t>Esta página es explicativa: elimínela antes de publicar o distribuir la citación definitiva.</w:t>
      </w:r>
    </w:p>
    <w:p>
      <w:pPr>
        <w:spacing w:before="0" w:after="160"/>
        <w:ind w:left="173" w:right="115"/>
        <w:shd w:fill="E4F5FB"/>
        <w:pBdr>
          <w:left w:val="single" w:sz="18" w:space="8" w:color="174B65"/>
        </w:pBdr>
      </w:pPr>
      <w:r>
        <w:rPr>
          <w:rFonts w:ascii="Arial" w:hAnsi="Arial" w:eastAsia="Arial"/>
          <w:b/>
          <w:color w:val="10384D"/>
          <w:sz w:val="18"/>
        </w:rPr>
        <w:t xml:space="preserve">IMPORTANTE. </w:t>
      </w:r>
      <w:r>
        <w:rPr>
          <w:rFonts w:ascii="Arial" w:hAnsi="Arial" w:eastAsia="Arial"/>
          <w:color w:val="29404C"/>
          <w:sz w:val="18"/>
        </w:rPr>
        <w:t>Este modelo se basa en las reglas generales del Código de Aguas. Antes de usarlo, revise los estatutos vigentes y confirme la materia, la mayoría exigible y las formalidades especiales del acuerdo que se propone adoptar.</w:t>
      </w:r>
    </w:p>
    <w:p>
      <w:pPr>
        <w:numPr>
          <w:ilvl w:val="0"/>
          <w:numId w:val="11"/>
        </w:numPr>
        <w:spacing w:after="40" w:line="240" w:lineRule="auto"/>
      </w:pPr>
      <w:r>
        <w:rPr>
          <w:rFonts w:ascii="Arial" w:hAnsi="Arial" w:eastAsia="Arial"/>
          <w:b/>
          <w:color w:val="10384D"/>
          <w:sz w:val="18"/>
        </w:rPr>
        <w:t xml:space="preserve">Defina el objeto con precisión. </w:t>
      </w:r>
      <w:r>
        <w:rPr>
          <w:rFonts w:ascii="Arial" w:hAnsi="Arial" w:eastAsia="Arial"/>
          <w:color w:val="29404C"/>
          <w:sz w:val="18"/>
        </w:rPr>
        <w:t>La junta extraordinaria sólo puede tratar las materias señaladas en la convocatoria. Describa cada asunto y, cuando sea posible, el acuerdo concreto que se someterá a votación. No use “puntos varios”.</w:t>
      </w:r>
    </w:p>
    <w:p>
      <w:pPr>
        <w:numPr>
          <w:ilvl w:val="0"/>
          <w:numId w:val="11"/>
        </w:numPr>
        <w:spacing w:after="40" w:line="240" w:lineRule="auto"/>
      </w:pPr>
      <w:r>
        <w:rPr>
          <w:rFonts w:ascii="Arial" w:hAnsi="Arial" w:eastAsia="Arial"/>
          <w:b/>
          <w:color w:val="10384D"/>
          <w:sz w:val="18"/>
        </w:rPr>
        <w:t xml:space="preserve">Revise los estatutos y el origen de la convocatoria. </w:t>
      </w:r>
      <w:r>
        <w:rPr>
          <w:rFonts w:ascii="Arial" w:hAnsi="Arial" w:eastAsia="Arial"/>
          <w:color w:val="29404C"/>
          <w:sz w:val="18"/>
        </w:rPr>
        <w:t>El Directorio cita cuando lo estima necesario o cuando lo solicita, indicando el objeto, al menos una cuarta parte de los comuneros con derecho a voto. Los estatutos pueden contener reglas distintas sobre la forma de citación en los casos permitidos por el Código.</w:t>
      </w:r>
    </w:p>
    <w:p>
      <w:pPr>
        <w:numPr>
          <w:ilvl w:val="0"/>
          <w:numId w:val="11"/>
        </w:numPr>
        <w:spacing w:after="40" w:line="240" w:lineRule="auto"/>
      </w:pPr>
      <w:r>
        <w:rPr>
          <w:rFonts w:ascii="Arial" w:hAnsi="Arial" w:eastAsia="Arial"/>
          <w:b/>
          <w:color w:val="10384D"/>
          <w:sz w:val="18"/>
        </w:rPr>
        <w:t xml:space="preserve">Publique y envíe las cartas certificadas. </w:t>
      </w:r>
      <w:r>
        <w:rPr>
          <w:rFonts w:ascii="Arial" w:hAnsi="Arial" w:eastAsia="Arial"/>
          <w:color w:val="29404C"/>
          <w:sz w:val="18"/>
        </w:rPr>
        <w:t>La regla general exige publicar un aviso en un diario o periódico de la capital provincial del domicilio de la comunidad —o, si no existe, de la capital regional— y, para la junta extraordinaria, enviar además carta certificada al domicilio registrado por cada comunero, salvo una regla estatutaria válida diferente.</w:t>
      </w:r>
    </w:p>
    <w:p>
      <w:pPr>
        <w:numPr>
          <w:ilvl w:val="0"/>
          <w:numId w:val="11"/>
        </w:numPr>
        <w:spacing w:after="40" w:line="240" w:lineRule="auto"/>
      </w:pPr>
      <w:r>
        <w:rPr>
          <w:rFonts w:ascii="Arial" w:hAnsi="Arial" w:eastAsia="Arial"/>
          <w:b/>
          <w:color w:val="10384D"/>
          <w:sz w:val="18"/>
        </w:rPr>
        <w:t xml:space="preserve">Respete la anticipación mínima. </w:t>
      </w:r>
      <w:r>
        <w:rPr>
          <w:rFonts w:ascii="Arial" w:hAnsi="Arial" w:eastAsia="Arial"/>
          <w:color w:val="29404C"/>
          <w:sz w:val="18"/>
        </w:rPr>
        <w:t>La citación debe efectuarse con al menos diez días de anticipación e indicar lugar, día, hora y objeto. Conserve la publicación, los comprobantes de envío y la nómina de domicilios utilizada.</w:t>
      </w:r>
    </w:p>
    <w:p>
      <w:pPr>
        <w:numPr>
          <w:ilvl w:val="0"/>
          <w:numId w:val="11"/>
        </w:numPr>
        <w:spacing w:after="40" w:line="240" w:lineRule="auto"/>
      </w:pPr>
      <w:r>
        <w:rPr>
          <w:rFonts w:ascii="Arial" w:hAnsi="Arial" w:eastAsia="Arial"/>
          <w:b/>
          <w:color w:val="10384D"/>
          <w:sz w:val="18"/>
        </w:rPr>
        <w:t xml:space="preserve">Declare expresamente ambas citaciones. </w:t>
      </w:r>
      <w:r>
        <w:rPr>
          <w:rFonts w:ascii="Arial" w:hAnsi="Arial" w:eastAsia="Arial"/>
          <w:color w:val="29404C"/>
          <w:sz w:val="18"/>
        </w:rPr>
        <w:t>Pueden fijarse para el mismo día si la convocatoria lo señala expresamente y existe una diferencia mínima de 30 minutos. En primera citación se exige la mayoría absoluta de los comuneros con derecho a voto; la segunda se constituye con quienes asistan.</w:t>
      </w:r>
    </w:p>
    <w:p>
      <w:pPr>
        <w:numPr>
          <w:ilvl w:val="0"/>
          <w:numId w:val="11"/>
        </w:numPr>
        <w:spacing w:after="40" w:line="240" w:lineRule="auto"/>
      </w:pPr>
      <w:r>
        <w:rPr>
          <w:rFonts w:ascii="Arial" w:hAnsi="Arial" w:eastAsia="Arial"/>
          <w:b/>
          <w:color w:val="10384D"/>
          <w:sz w:val="18"/>
        </w:rPr>
        <w:t xml:space="preserve">Verifique quiénes pueden votar y representar. </w:t>
      </w:r>
      <w:r>
        <w:rPr>
          <w:rFonts w:ascii="Arial" w:hAnsi="Arial" w:eastAsia="Arial"/>
          <w:color w:val="29404C"/>
          <w:sz w:val="18"/>
        </w:rPr>
        <w:t>Sólo votan quienes estén inscritos en el Registro de la Comunidad y al día en sus cuotas. Cada comunero vota según sus acciones. El mandato debe ser notarial, salvo cuando se otorgue a otro comunero, caso en que basta carta poder simple.</w:t>
      </w:r>
    </w:p>
    <w:p>
      <w:pPr>
        <w:numPr>
          <w:ilvl w:val="0"/>
          <w:numId w:val="11"/>
        </w:numPr>
        <w:spacing w:after="40" w:line="240" w:lineRule="auto"/>
      </w:pPr>
      <w:r>
        <w:rPr>
          <w:rFonts w:ascii="Arial" w:hAnsi="Arial" w:eastAsia="Arial"/>
          <w:b/>
          <w:color w:val="10384D"/>
          <w:sz w:val="18"/>
        </w:rPr>
        <w:t xml:space="preserve">Confirme la mayoría y las formalidades del acuerdo. </w:t>
      </w:r>
      <w:r>
        <w:rPr>
          <w:rFonts w:ascii="Arial" w:hAnsi="Arial" w:eastAsia="Arial"/>
          <w:color w:val="29404C"/>
          <w:sz w:val="18"/>
        </w:rPr>
        <w:t>La regla general es la mayoría absoluta de los votos emitidos, pero el Código o los estatutos pueden exigir una mayoría especial. Por ejemplo, la reforma de estatutos requiere la mayoría del total de votos de la comunidad y que el acuerdo se reduzca a escritura pública.</w:t>
      </w:r>
    </w:p>
    <w:p>
      <w:pPr>
        <w:numPr>
          <w:ilvl w:val="0"/>
          <w:numId w:val="11"/>
        </w:numPr>
        <w:spacing w:after="40" w:line="240" w:lineRule="auto"/>
      </w:pPr>
      <w:r>
        <w:rPr>
          <w:rFonts w:ascii="Arial" w:hAnsi="Arial" w:eastAsia="Arial"/>
          <w:b/>
          <w:color w:val="10384D"/>
          <w:sz w:val="18"/>
        </w:rPr>
        <w:t xml:space="preserve">Use la modalidad presencial como regla de este modelo. </w:t>
      </w:r>
      <w:r>
        <w:rPr>
          <w:rFonts w:ascii="Arial" w:hAnsi="Arial" w:eastAsia="Arial"/>
          <w:color w:val="29404C"/>
          <w:sz w:val="18"/>
        </w:rPr>
        <w:t>La instrucción DGA de 2020 para juntas extraordinarias remotas fue excepcional y estuvo vinculada al Estado de Catástrofe por Covid-19. No la utilice como habilitación general vigente sin una revisión jurídica específica.</w:t>
      </w:r>
    </w:p>
    <w:p>
      <w:pPr>
        <w:numPr>
          <w:ilvl w:val="0"/>
          <w:numId w:val="11"/>
        </w:numPr>
        <w:spacing w:after="40" w:line="240" w:lineRule="auto"/>
      </w:pPr>
      <w:r>
        <w:rPr>
          <w:rFonts w:ascii="Arial" w:hAnsi="Arial" w:eastAsia="Arial"/>
          <w:b/>
          <w:color w:val="10384D"/>
          <w:sz w:val="18"/>
        </w:rPr>
        <w:t xml:space="preserve">Prepare y conserve el expediente de la junta. </w:t>
      </w:r>
      <w:r>
        <w:rPr>
          <w:rFonts w:ascii="Arial" w:hAnsi="Arial" w:eastAsia="Arial"/>
          <w:color w:val="29404C"/>
          <w:sz w:val="18"/>
        </w:rPr>
        <w:t>Archive el acuerdo o solicitud que originó la convocatoria, la publicación, las cartas certificadas, los poderes, el registro de asistencia y votación, los antecedentes sometidos a decisión y el acta.</w:t>
      </w:r>
    </w:p>
    <w:p>
      <w:pPr>
        <w:pStyle w:val="Heading2"/>
        <w:spacing w:before="160" w:after="80"/>
      </w:pPr>
      <w:r>
        <w:t>Fuentes de referencia</w:t>
      </w:r>
    </w:p>
    <w:p>
      <w:pPr>
        <w:numPr>
          <w:ilvl w:val="0"/>
          <w:numId w:val="12"/>
        </w:numPr>
        <w:spacing w:after="40" w:line="240" w:lineRule="auto"/>
      </w:pPr>
      <w:r>
        <w:rPr>
          <w:rFonts w:ascii="Arial" w:hAnsi="Arial" w:eastAsia="Arial"/>
          <w:color w:val="29404C"/>
          <w:sz w:val="17"/>
        </w:rPr>
        <w:t xml:space="preserve">Código de Aguas (DFL N.º 1.122): artículos 218 a 225, 227, 241 N.º 16, 249 y 251. </w:t>
      </w:r>
      <w:hyperlink r:id="rId11">
        <w:r>
          <w:rPr>
            <w:rFonts w:ascii="Arial" w:hAnsi="Arial"/>
            <w:color w:val="174B65"/>
            <w:u w:val="single"/>
          </w:rPr>
          <w:t>Consultar en LeyChile</w:t>
        </w:r>
      </w:hyperlink>
    </w:p>
    <w:p>
      <w:pPr>
        <w:numPr>
          <w:ilvl w:val="0"/>
          <w:numId w:val="12"/>
        </w:numPr>
        <w:spacing w:after="40" w:line="240" w:lineRule="auto"/>
      </w:pPr>
      <w:r>
        <w:rPr>
          <w:rFonts w:ascii="Arial" w:hAnsi="Arial" w:eastAsia="Arial"/>
          <w:color w:val="29404C"/>
          <w:sz w:val="17"/>
        </w:rPr>
        <w:t xml:space="preserve">DGA: instrucciones excepcionales de 2020 para juntas generales extraordinarias remotas. </w:t>
      </w:r>
      <w:hyperlink r:id="rId12">
        <w:r>
          <w:rPr>
            <w:rFonts w:ascii="Arial" w:hAnsi="Arial"/>
            <w:color w:val="174B65"/>
            <w:u w:val="single"/>
          </w:rPr>
          <w:t>Ver instrucciones</w:t>
        </w:r>
      </w:hyperlink>
    </w:p>
    <w:p>
      <w:pPr>
        <w:numPr>
          <w:ilvl w:val="0"/>
          <w:numId w:val="12"/>
        </w:numPr>
        <w:spacing w:after="40" w:line="240" w:lineRule="auto"/>
      </w:pPr>
      <w:r>
        <w:rPr>
          <w:rFonts w:ascii="Arial" w:hAnsi="Arial" w:eastAsia="Arial"/>
          <w:color w:val="29404C"/>
          <w:sz w:val="17"/>
        </w:rPr>
        <w:t xml:space="preserve">DGA: Circular N.º 2 de 2022 sobre convocatoria solicitada por comuneros. </w:t>
      </w:r>
      <w:hyperlink r:id="rId13">
        <w:r>
          <w:rPr>
            <w:rFonts w:ascii="Arial" w:hAnsi="Arial"/>
            <w:color w:val="174B65"/>
            <w:u w:val="single"/>
          </w:rPr>
          <w:t>Ver circular</w:t>
        </w:r>
      </w:hyperlink>
    </w:p>
    <w:p>
      <w:pPr>
        <w:numPr>
          <w:ilvl w:val="0"/>
          <w:numId w:val="12"/>
        </w:numPr>
        <w:spacing w:after="40" w:line="240" w:lineRule="auto"/>
      </w:pPr>
      <w:r>
        <w:rPr>
          <w:rFonts w:ascii="Arial" w:hAnsi="Arial" w:eastAsia="Arial"/>
          <w:color w:val="29404C"/>
          <w:sz w:val="17"/>
        </w:rPr>
        <w:t xml:space="preserve">JVRE: “El ABC de las Juntas Generales para las Comunidades de Aguas”. </w:t>
      </w:r>
      <w:hyperlink r:id="rId14">
        <w:r>
          <w:rPr>
            <w:rFonts w:ascii="Arial" w:hAnsi="Arial"/>
            <w:color w:val="174B65"/>
            <w:u w:val="single"/>
          </w:rPr>
          <w:t>Ver artículo</w:t>
        </w:r>
      </w:hyperlink>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spacing w:before="0" w:after="0"/>
    </w:pPr>
    <w:r>
      <w:rPr>
        <w:rFonts w:ascii="Arial" w:hAnsi="Arial" w:eastAsia="Arial"/>
        <w:color w:val="5E727C"/>
        <w:sz w:val="16"/>
      </w:rPr>
      <w:t>Documento de apoyo · Verifique siempre los estatutos de la comunidad</w:t>
    </w:r>
    <w:r>
      <w:tab/>
    </w:r>
    <w:r>
      <w:rPr>
        <w:rFonts w:ascii="Arial" w:hAnsi="Arial" w:eastAsia="Arial"/>
        <w:color w:val="5E727C"/>
        <w:sz w:val="16"/>
      </w:rPr>
      <w:t xml:space="preserve">Página </w:t>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60" w:val="right"/>
      </w:tabs>
      <w:spacing w:after="0"/>
    </w:pPr>
    <w:r>
      <w:rPr>
        <w:rFonts w:ascii="Arial" w:hAnsi="Arial" w:eastAsia="Arial"/>
        <w:b/>
        <w:color w:val="174B65"/>
        <w:sz w:val="17"/>
      </w:rPr>
      <w:t>JVRE  |  SECCIÓN JURÍDICA</w:t>
    </w:r>
    <w:r>
      <w:tab/>
    </w:r>
    <w:r>
      <w:rPr>
        <w:rFonts w:ascii="Arial" w:hAnsi="Arial" w:eastAsia="Arial"/>
        <w:b/>
        <w:color w:val="5E727C"/>
        <w:sz w:val="17"/>
      </w:rPr>
      <w:t>MODELO EDITABLE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decimal"/>
      <w:lvlText w:val="%1."/>
      <w:suff w:val="tab"/>
      <w:pPr>
        <w:tabs>
          <w:tab w:val="num" w:pos="720"/>
        </w:tabs>
        <w:ind w:left="720" w:hanging="360"/>
        <w:spacing w:after="80" w:line="280" w:lineRule="auto"/>
      </w:pPr>
    </w:lvl>
  </w:abstractNum>
  <w:num w:numId="10">
    <w:abstractNumId w:val="9"/>
  </w:num>
  <w:abstractNum w:abstractNumId="10">
    <w:multiLevelType w:val="singleLevel"/>
    <w:lvl w:ilvl="0">
      <w:start w:val="1"/>
      <w:numFmt w:val="decimal"/>
      <w:lvlText w:val="%1."/>
      <w:suff w:val="tab"/>
      <w:pPr>
        <w:tabs>
          <w:tab w:val="num" w:pos="720"/>
        </w:tabs>
        <w:ind w:left="720" w:hanging="360"/>
        <w:spacing w:after="50" w:line="280" w:lineRule="auto"/>
      </w:pPr>
    </w:lvl>
  </w:abstractNum>
  <w:num w:numId="11">
    <w:abstractNumId w:val="10"/>
  </w:num>
  <w:abstractNum w:abstractNumId="11">
    <w:multiLevelType w:val="singleLevel"/>
    <w:lvl w:ilvl="0">
      <w:start w:val="1"/>
      <w:numFmt w:val="bullet"/>
      <w:lvlText w:val="•"/>
      <w:suff w:val="tab"/>
      <w:pPr>
        <w:tabs>
          <w:tab w:val="num" w:pos="720"/>
        </w:tabs>
        <w:ind w:left="720" w:hanging="360"/>
        <w:spacing w:after="40" w:line="280" w:lineRule="auto"/>
      </w:pPr>
    </w:lvl>
  </w:abstract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Arial" w:hAnsi="Arial"/>
      <w:color w:val="29404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rial" w:hAnsi="Arial"/>
      <w:b/>
      <w:bCs/>
      <w:color w:val="174B6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color w:val="174B6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b/>
      <w:bCs/>
      <w:color w:val="10384D"/>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cn.cl/leychile/navegar?idNorma=5605" TargetMode="External"/><Relationship Id="rId12" Type="http://schemas.openxmlformats.org/officeDocument/2006/relationships/hyperlink" Target="https://dga.mop.gob.cl/instrucciones-para-realizar-juntas-generales-extraordinarias-por-via-remota/" TargetMode="External"/><Relationship Id="rId13" Type="http://schemas.openxmlformats.org/officeDocument/2006/relationships/hyperlink" Target="https://dga.mop.gob.cl/uploads/sites/13/2023/07/circular_2_2022.pdf" TargetMode="External"/><Relationship Id="rId14" Type="http://schemas.openxmlformats.org/officeDocument/2006/relationships/hyperlink" Target="https://www.rioelqui.cl/el-abc-de-las-juntas-generales-para-las-comunidades-de-agu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citación a Junta General Extraordinaria de Comuneros</dc:title>
  <dc:subject>Plantilla editable para comunidades de aguas</dc:subject>
  <dc:creator>Junta de Vigilancia del Río Elqui y sus Afluentes</dc:creator>
  <cp:keywords>JVRE, comunidad de aguas, junta general extraordinaria, citación</cp:keywords>
  <dc:description>generated by python-docx</dc:description>
  <cp:lastModifiedBy/>
  <cp:revision>1</cp:revision>
  <dcterms:created xsi:type="dcterms:W3CDTF">2013-12-23T23:15:00Z</dcterms:created>
  <dcterms:modified xsi:type="dcterms:W3CDTF">2013-12-23T23:15:00Z</dcterms:modified>
  <cp:category/>
</cp:coreProperties>
</file>